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60"/>
        <w:gridCol w:w="3240"/>
        <w:gridCol w:w="270"/>
        <w:gridCol w:w="1080"/>
        <w:gridCol w:w="360"/>
        <w:gridCol w:w="1188"/>
      </w:tblGrid>
      <w:tr w:rsidR="00BF3D6C" w14:paraId="6059EEA5" w14:textId="78B437E6" w:rsidTr="00324A15">
        <w:trPr>
          <w:jc w:val="center"/>
        </w:trPr>
        <w:tc>
          <w:tcPr>
            <w:tcW w:w="6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247E8A9" w14:textId="77777777" w:rsidR="00324A15" w:rsidRPr="00100868" w:rsidRDefault="00324A15" w:rsidP="00BF3D6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66A84487" w14:textId="04B22BD3" w:rsidR="00BF3D6C" w:rsidRPr="00100868" w:rsidRDefault="00BF3D6C" w:rsidP="00BF3D6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0868">
              <w:rPr>
                <w:b/>
                <w:color w:val="FFFFFF" w:themeColor="background1"/>
                <w:sz w:val="24"/>
                <w:szCs w:val="24"/>
              </w:rPr>
              <w:t>High Frequency Oscillator Ventilation (HFOV)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CC1A4" w14:textId="77777777" w:rsidR="00BF3D6C" w:rsidRDefault="00BF3D6C" w:rsidP="00BF3D6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4D15E61" w14:textId="7B527844" w:rsidR="00BF3D6C" w:rsidRPr="00100868" w:rsidRDefault="00BF3D6C" w:rsidP="00BF3D6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0868">
              <w:rPr>
                <w:b/>
                <w:color w:val="FFFFFF" w:themeColor="background1"/>
                <w:sz w:val="24"/>
                <w:szCs w:val="24"/>
              </w:rPr>
              <w:t>% Oxygen by nasal cannula (from flow on the wall)</w:t>
            </w:r>
          </w:p>
        </w:tc>
      </w:tr>
      <w:tr w:rsidR="00324A15" w14:paraId="7D5AF572" w14:textId="5F1E7166" w:rsidTr="00324A15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64171" w14:textId="27780B7B" w:rsidR="00BF3D6C" w:rsidRPr="00BF3D6C" w:rsidRDefault="00BF3D6C" w:rsidP="00BF3D6C">
            <w:pPr>
              <w:jc w:val="right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HFOV Settings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98D14" w14:textId="6F72A215" w:rsidR="00BF3D6C" w:rsidRPr="00BF3D6C" w:rsidRDefault="00BF3D6C" w:rsidP="00BF3D6C">
            <w:pPr>
              <w:jc w:val="center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60A02" w14:textId="62A4E3E3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Standard Ventilator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13361" w14:textId="77777777" w:rsidR="00BF3D6C" w:rsidRDefault="00BF3D6C" w:rsidP="00BF3D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063B6" w14:textId="20FD6AA6" w:rsidR="00BF3D6C" w:rsidRPr="00BF3D6C" w:rsidRDefault="00BF3D6C" w:rsidP="00324A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82BD5" w14:textId="0A80B1FB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13ECE" w14:textId="0638ACF3" w:rsidR="00BF3D6C" w:rsidRPr="00BF3D6C" w:rsidRDefault="00BF3D6C" w:rsidP="00324A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0.24</w:t>
            </w:r>
          </w:p>
        </w:tc>
      </w:tr>
      <w:tr w:rsidR="00324A15" w14:paraId="335F1F0D" w14:textId="1B033C21" w:rsidTr="00324A15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51697" w14:textId="30BB3EDC" w:rsidR="00BF3D6C" w:rsidRPr="00BF3D6C" w:rsidRDefault="00BF3D6C" w:rsidP="00BF3D6C">
            <w:pPr>
              <w:jc w:val="right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Hertz (Htz)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09937" w14:textId="1BC0E5AF" w:rsidR="00BF3D6C" w:rsidRPr="00BF3D6C" w:rsidRDefault="00BF3D6C" w:rsidP="00BF3D6C">
            <w:pPr>
              <w:jc w:val="center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9E4A" w14:textId="44732870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Rate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0B1B8" w14:textId="77777777" w:rsidR="00BF3D6C" w:rsidRDefault="00BF3D6C" w:rsidP="00BF3D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F3C72" w14:textId="244CD83F" w:rsidR="00BF3D6C" w:rsidRPr="00BF3D6C" w:rsidRDefault="00BF3D6C" w:rsidP="00324A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BB5A4" w14:textId="52E17D42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688EA" w14:textId="2F8F4144" w:rsidR="00BF3D6C" w:rsidRPr="00BF3D6C" w:rsidRDefault="00BF3D6C" w:rsidP="00324A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0.28</w:t>
            </w:r>
          </w:p>
        </w:tc>
      </w:tr>
      <w:tr w:rsidR="00324A15" w14:paraId="3BDD7792" w14:textId="6F5F6B6C" w:rsidTr="00324A15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708F7" w14:textId="5BA7E046" w:rsidR="00BF3D6C" w:rsidRPr="00BF3D6C" w:rsidRDefault="00BF3D6C" w:rsidP="00BF3D6C">
            <w:pPr>
              <w:jc w:val="right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Mean Airway Pressure (MAP)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FE45D" w14:textId="52382D56" w:rsidR="00BF3D6C" w:rsidRPr="00BF3D6C" w:rsidRDefault="00BF3D6C" w:rsidP="00BF3D6C">
            <w:pPr>
              <w:jc w:val="center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AE8E" w14:textId="5E3D7E0A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Mean Airway Pressure (MAP)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6DDBB" w14:textId="77777777" w:rsidR="00BF3D6C" w:rsidRDefault="00BF3D6C" w:rsidP="00BF3D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3B31C" w14:textId="227EA89A" w:rsidR="00BF3D6C" w:rsidRPr="00BF3D6C" w:rsidRDefault="00BF3D6C" w:rsidP="00324A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B2B0" w14:textId="76E9575F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F616" w14:textId="70C9DD42" w:rsidR="00BF3D6C" w:rsidRPr="00BF3D6C" w:rsidRDefault="00BF3D6C" w:rsidP="00324A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0.32</w:t>
            </w:r>
          </w:p>
        </w:tc>
      </w:tr>
      <w:tr w:rsidR="00324A15" w14:paraId="05DE72FD" w14:textId="7EF57A89" w:rsidTr="00324A15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0EACA" w14:textId="4F9D7262" w:rsidR="00BF3D6C" w:rsidRPr="00BF3D6C" w:rsidRDefault="00BF3D6C" w:rsidP="00BF3D6C">
            <w:pPr>
              <w:jc w:val="right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Amps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C1D8C" w14:textId="50301003" w:rsidR="00BF3D6C" w:rsidRPr="00BF3D6C" w:rsidRDefault="00BF3D6C" w:rsidP="00BF3D6C">
            <w:pPr>
              <w:jc w:val="center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67FB8" w14:textId="2AD850D0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Peak Inspiratory Pressure (PIP)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D25DD" w14:textId="77777777" w:rsidR="00BF3D6C" w:rsidRDefault="00BF3D6C" w:rsidP="00BF3D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63B3A" w14:textId="38453B35" w:rsidR="00BF3D6C" w:rsidRPr="00BF3D6C" w:rsidRDefault="00BF3D6C" w:rsidP="00324A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9C5E7" w14:textId="4D778269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AE417" w14:textId="7CD2E2F0" w:rsidR="00BF3D6C" w:rsidRPr="00BF3D6C" w:rsidRDefault="00BF3D6C" w:rsidP="00324A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0.36</w:t>
            </w:r>
          </w:p>
        </w:tc>
      </w:tr>
      <w:tr w:rsidR="00324A15" w14:paraId="4194CF3E" w14:textId="61BD05D1" w:rsidTr="00B55F5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0FC7" w14:textId="18542741" w:rsidR="00BF3D6C" w:rsidRPr="00BF3D6C" w:rsidRDefault="00BF3D6C" w:rsidP="00BF3D6C">
            <w:pPr>
              <w:jc w:val="right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02426" w14:textId="5EE31FC6" w:rsidR="00BF3D6C" w:rsidRPr="00BF3D6C" w:rsidRDefault="00BF3D6C" w:rsidP="00BF3D6C">
            <w:pPr>
              <w:jc w:val="center"/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C45D" w14:textId="03619F56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PEEP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F333C" w14:textId="77777777" w:rsidR="00BF3D6C" w:rsidRDefault="00BF3D6C" w:rsidP="00BF3D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0F83E" w14:textId="54A25F4F" w:rsidR="00BF3D6C" w:rsidRPr="00BF3D6C" w:rsidRDefault="00BF3D6C" w:rsidP="00324A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F232B" w14:textId="0F818C26" w:rsidR="00BF3D6C" w:rsidRPr="00BF3D6C" w:rsidRDefault="00BF3D6C" w:rsidP="00BF3D6C">
            <w:pPr>
              <w:rPr>
                <w:bCs/>
                <w:sz w:val="24"/>
                <w:szCs w:val="24"/>
              </w:rPr>
            </w:pPr>
            <w:r w:rsidRPr="00BF3D6C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1D5C" w14:textId="77EA4EB1" w:rsidR="00BF3D6C" w:rsidRPr="00BF3D6C" w:rsidRDefault="00BF3D6C" w:rsidP="00324A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0.40</w:t>
            </w:r>
          </w:p>
        </w:tc>
      </w:tr>
      <w:tr w:rsidR="00E60B3E" w14:paraId="290D593C" w14:textId="77777777" w:rsidTr="00F24D6C">
        <w:trPr>
          <w:jc w:val="center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32E" w14:textId="7E1880AF" w:rsidR="00E60B3E" w:rsidRPr="00E60B3E" w:rsidRDefault="00E60B3E" w:rsidP="00E60B3E">
            <w:pPr>
              <w:jc w:val="center"/>
              <w:rPr>
                <w:bCs/>
                <w:sz w:val="24"/>
                <w:szCs w:val="24"/>
              </w:rPr>
            </w:pPr>
            <w:r w:rsidRPr="00E60B3E">
              <w:rPr>
                <w:bCs/>
                <w:sz w:val="24"/>
                <w:szCs w:val="24"/>
              </w:rPr>
              <w:t xml:space="preserve">Non-invasive vent= CPAP, Sipap, Bipap, HFNC </w:t>
            </w:r>
            <w:r w:rsidRPr="00E60B3E">
              <w:rPr>
                <w:rFonts w:cstheme="minorHAnsi"/>
                <w:sz w:val="24"/>
                <w:szCs w:val="24"/>
              </w:rPr>
              <w:t>≥</w:t>
            </w:r>
            <w:r w:rsidRPr="00E60B3E">
              <w:rPr>
                <w:sz w:val="24"/>
                <w:szCs w:val="24"/>
              </w:rPr>
              <w:t>6L/min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D3ED0" w14:textId="77777777" w:rsidR="00E60B3E" w:rsidRDefault="00E60B3E" w:rsidP="00BF3D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D40E5" w14:textId="51CD8752" w:rsidR="00E60B3E" w:rsidRPr="00BF3D6C" w:rsidRDefault="00E60B3E" w:rsidP="00324A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F94B1" w14:textId="26E800E9" w:rsidR="00E60B3E" w:rsidRPr="00BF3D6C" w:rsidRDefault="00E60B3E" w:rsidP="00BF3D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81BBF" w14:textId="2D77B640" w:rsidR="00E60B3E" w:rsidRPr="00BF3D6C" w:rsidRDefault="00E60B3E" w:rsidP="00324A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0.44</w:t>
            </w:r>
          </w:p>
        </w:tc>
      </w:tr>
    </w:tbl>
    <w:p w14:paraId="5C7D3E15" w14:textId="340AE490" w:rsidR="00BF3D6C" w:rsidRPr="00CF4924" w:rsidRDefault="00BF3D6C" w:rsidP="00501B6D">
      <w:pPr>
        <w:spacing w:after="0" w:line="240" w:lineRule="auto"/>
        <w:jc w:val="center"/>
        <w:rPr>
          <w:b/>
          <w:sz w:val="18"/>
          <w:szCs w:val="18"/>
        </w:rPr>
      </w:pPr>
    </w:p>
    <w:p w14:paraId="2D7E925C" w14:textId="16CD0A2E" w:rsidR="00B34788" w:rsidRDefault="00DC5644" w:rsidP="00DC564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00868">
        <w:rPr>
          <w:b/>
          <w:sz w:val="28"/>
          <w:szCs w:val="28"/>
          <w:u w:val="single"/>
        </w:rPr>
        <w:t>Data Collection Tips</w:t>
      </w:r>
    </w:p>
    <w:p w14:paraId="530C5097" w14:textId="3D86A60D" w:rsidR="00CF4924" w:rsidRDefault="00CF4924" w:rsidP="00DC5644">
      <w:pPr>
        <w:spacing w:after="0" w:line="240" w:lineRule="auto"/>
        <w:jc w:val="center"/>
        <w:rPr>
          <w:bCs/>
          <w:i/>
          <w:iCs/>
          <w:sz w:val="18"/>
          <w:szCs w:val="18"/>
        </w:rPr>
      </w:pPr>
      <w:r w:rsidRPr="00CF4924">
        <w:rPr>
          <w:bCs/>
          <w:i/>
          <w:iCs/>
          <w:sz w:val="18"/>
          <w:szCs w:val="18"/>
        </w:rPr>
        <w:t>*These are general guidelines for data collection.  You should always follow any direct guidance provided by the study’s Protocol or MOO if that information conflict</w:t>
      </w:r>
      <w:r>
        <w:rPr>
          <w:bCs/>
          <w:i/>
          <w:iCs/>
          <w:sz w:val="18"/>
          <w:szCs w:val="18"/>
        </w:rPr>
        <w:t>s</w:t>
      </w:r>
      <w:r w:rsidRPr="00CF4924">
        <w:rPr>
          <w:bCs/>
          <w:i/>
          <w:iCs/>
          <w:sz w:val="18"/>
          <w:szCs w:val="18"/>
        </w:rPr>
        <w:t xml:space="preserve"> with what is provided here.</w:t>
      </w:r>
    </w:p>
    <w:p w14:paraId="719D092D" w14:textId="77777777" w:rsidR="006D1958" w:rsidRPr="00CF4924" w:rsidRDefault="006D1958" w:rsidP="00DC5644">
      <w:pPr>
        <w:spacing w:after="0" w:line="240" w:lineRule="auto"/>
        <w:jc w:val="center"/>
        <w:rPr>
          <w:bCs/>
          <w:i/>
          <w:iCs/>
          <w:sz w:val="18"/>
          <w:szCs w:val="18"/>
        </w:rPr>
      </w:pPr>
    </w:p>
    <w:p w14:paraId="4BCB031D" w14:textId="333C1CB6" w:rsidR="0001779C" w:rsidRDefault="0001779C" w:rsidP="00B34788">
      <w:pPr>
        <w:spacing w:after="0" w:line="240" w:lineRule="auto"/>
        <w:rPr>
          <w:b/>
        </w:rPr>
      </w:pPr>
      <w:r>
        <w:rPr>
          <w:b/>
        </w:rPr>
        <w:t>Vital Signs</w:t>
      </w:r>
    </w:p>
    <w:p w14:paraId="12B89F2A" w14:textId="75D668FD" w:rsidR="0001779C" w:rsidRDefault="0001779C" w:rsidP="0001779C">
      <w:pPr>
        <w:spacing w:after="0" w:line="240" w:lineRule="auto"/>
        <w:rPr>
          <w:bCs/>
        </w:rPr>
      </w:pPr>
      <w:r w:rsidRPr="0001779C">
        <w:rPr>
          <w:bCs/>
        </w:rPr>
        <w:t xml:space="preserve">At times, vital signs are documented in the EMR in error, either via typo, or because the automated system picked up artifact.  </w:t>
      </w:r>
      <w:r>
        <w:rPr>
          <w:bCs/>
        </w:rPr>
        <w:t xml:space="preserve">If a vital sign value looks significantly “off” (aka not life sustaining), read through the nursing notes and/or check with your PI.  </w:t>
      </w:r>
      <w:r w:rsidRPr="0001779C">
        <w:rPr>
          <w:bCs/>
          <w:i/>
          <w:iCs/>
        </w:rPr>
        <w:t>As a rule of thumb, even if it is documented in the EMR, if is otherwise deemed to be inaccurate, do not document it</w:t>
      </w:r>
      <w:r w:rsidR="006D1958">
        <w:rPr>
          <w:bCs/>
          <w:i/>
          <w:iCs/>
        </w:rPr>
        <w:t xml:space="preserve"> for research</w:t>
      </w:r>
      <w:r w:rsidRPr="0001779C">
        <w:rPr>
          <w:bCs/>
          <w:i/>
          <w:iCs/>
        </w:rPr>
        <w:t>!</w:t>
      </w:r>
      <w:r>
        <w:rPr>
          <w:bCs/>
          <w:i/>
          <w:iCs/>
        </w:rPr>
        <w:t xml:space="preserve"> Make note on your CRF or fill out a Note to File to put with the subject record in case of an audit.</w:t>
      </w:r>
    </w:p>
    <w:p w14:paraId="6531EE6C" w14:textId="77777777" w:rsidR="0001779C" w:rsidRDefault="0001779C" w:rsidP="0001779C">
      <w:pPr>
        <w:spacing w:after="0" w:line="240" w:lineRule="auto"/>
        <w:rPr>
          <w:bCs/>
        </w:rPr>
      </w:pPr>
    </w:p>
    <w:p w14:paraId="24263DCC" w14:textId="4FBEC900" w:rsidR="0001779C" w:rsidRDefault="0001779C" w:rsidP="0001779C">
      <w:pPr>
        <w:spacing w:after="0" w:line="240" w:lineRule="auto"/>
        <w:rPr>
          <w:bCs/>
        </w:rPr>
      </w:pPr>
      <w:r>
        <w:rPr>
          <w:bCs/>
        </w:rPr>
        <w:t>Here are some examples:</w:t>
      </w:r>
    </w:p>
    <w:p w14:paraId="3D54BBF1" w14:textId="45B79C3C" w:rsidR="0001779C" w:rsidRDefault="0001779C" w:rsidP="0001779C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01779C">
        <w:rPr>
          <w:bCs/>
        </w:rPr>
        <w:t>Heart rate is documented as 300 beats per minute</w:t>
      </w:r>
    </w:p>
    <w:p w14:paraId="169C8C8C" w14:textId="77777777" w:rsidR="0001779C" w:rsidRDefault="0001779C" w:rsidP="0001779C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Often this is a sign that the patient was having chest physiotherapy at the time.  If it’s a one-time extremely high heart rate, it is unlikely accurate, and be sure to dig into record further. </w:t>
      </w:r>
    </w:p>
    <w:p w14:paraId="02EF17EF" w14:textId="1DE7086F" w:rsidR="0001779C" w:rsidRDefault="0001779C" w:rsidP="0001779C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>It could be an indication of SVT (supraventricular tachycardia).  If this is the case, there should be a nursing note documenting the occurrence</w:t>
      </w:r>
      <w:r w:rsidR="006C1163">
        <w:rPr>
          <w:bCs/>
        </w:rPr>
        <w:t>.</w:t>
      </w:r>
    </w:p>
    <w:p w14:paraId="5487043D" w14:textId="0EE0D5F5" w:rsidR="006D1958" w:rsidRDefault="006D1958" w:rsidP="0001779C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Systolic Blood Pressure (SBP) is documented as 5.</w:t>
      </w:r>
    </w:p>
    <w:p w14:paraId="5905E9F5" w14:textId="75DD6A45" w:rsidR="006D1958" w:rsidRDefault="006D1958" w:rsidP="006D1958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>Did they mean to document 45?  56?  A SBP</w:t>
      </w:r>
      <w:r w:rsidR="0001779C">
        <w:rPr>
          <w:bCs/>
        </w:rPr>
        <w:t xml:space="preserve"> </w:t>
      </w:r>
      <w:r>
        <w:rPr>
          <w:bCs/>
        </w:rPr>
        <w:t xml:space="preserve">of 5 is not life-sustaining.  Check the notes and record closely to see if perhaps the subject had cardiac arrest (in which case a SBP of 5 may be entirely accurate!).  If the patient was otherwise stable during this time, it is most likely erroneous.  </w:t>
      </w:r>
    </w:p>
    <w:p w14:paraId="4A42D79F" w14:textId="5DE09BA1" w:rsidR="006D1958" w:rsidRDefault="006D1958" w:rsidP="006D195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Respiratory Rate (RR) is documented as 120 breaths per minute.</w:t>
      </w:r>
    </w:p>
    <w:p w14:paraId="38DFA6D7" w14:textId="7E10B539" w:rsidR="006D1958" w:rsidRDefault="006D1958" w:rsidP="006D1958">
      <w:pPr>
        <w:pStyle w:val="ListParagraph"/>
        <w:numPr>
          <w:ilvl w:val="1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This can be tricky and may be age-dependent.  </w:t>
      </w:r>
    </w:p>
    <w:p w14:paraId="620538A7" w14:textId="41468535" w:rsidR="006D1958" w:rsidRDefault="006D1958" w:rsidP="006D1958">
      <w:pPr>
        <w:pStyle w:val="ListParagraph"/>
        <w:numPr>
          <w:ilvl w:val="2"/>
          <w:numId w:val="6"/>
        </w:numPr>
        <w:spacing w:after="0" w:line="240" w:lineRule="auto"/>
        <w:rPr>
          <w:bCs/>
        </w:rPr>
      </w:pPr>
      <w:r>
        <w:rPr>
          <w:bCs/>
        </w:rPr>
        <w:t>Child/teen: Did they mean to document 12? In general, a RR of 120 in a child or teen is unreasonable or unrealistic and highly unlikely even in a sick child.  Check the other RRs documented around that time as well as nursing notes.</w:t>
      </w:r>
    </w:p>
    <w:p w14:paraId="497120E3" w14:textId="133B8297" w:rsidR="006D1958" w:rsidRPr="006D1958" w:rsidRDefault="006D1958" w:rsidP="006D1958">
      <w:pPr>
        <w:pStyle w:val="ListParagraph"/>
        <w:numPr>
          <w:ilvl w:val="2"/>
          <w:numId w:val="6"/>
        </w:numPr>
        <w:spacing w:after="0" w:line="240" w:lineRule="auto"/>
        <w:rPr>
          <w:bCs/>
        </w:rPr>
      </w:pPr>
      <w:r>
        <w:rPr>
          <w:bCs/>
        </w:rPr>
        <w:t>Infant: Did they mean to document 12? In which case this would be a severely low RR for an infant, likely requiring intubation or other respiratory support.  A RR of 120 may be accurate, but still perhaps a bit out of range for even an infant with severe tachypnea (fast breathing).  Again, review nursing notes in the record to confirm.</w:t>
      </w:r>
    </w:p>
    <w:p w14:paraId="6BC196A1" w14:textId="3CD829DE" w:rsidR="00DC5644" w:rsidRPr="00DC5644" w:rsidRDefault="00E60B3E" w:rsidP="00B34788">
      <w:pPr>
        <w:spacing w:after="0" w:line="240" w:lineRule="auto"/>
        <w:rPr>
          <w:b/>
        </w:rPr>
      </w:pPr>
      <w:r>
        <w:rPr>
          <w:b/>
        </w:rPr>
        <w:t xml:space="preserve">Blood </w:t>
      </w:r>
      <w:r w:rsidR="00DC5644" w:rsidRPr="00DC5644">
        <w:rPr>
          <w:b/>
        </w:rPr>
        <w:t>Gases</w:t>
      </w:r>
    </w:p>
    <w:p w14:paraId="7CBC9C11" w14:textId="5C1BE8EF" w:rsidR="00DC5644" w:rsidRDefault="00DC5644" w:rsidP="00DC56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Pay close attention to arterial vs venous vs capillary, some </w:t>
      </w:r>
      <w:r w:rsidR="00724B81">
        <w:t xml:space="preserve">case report </w:t>
      </w:r>
      <w:r>
        <w:t>forms and scoring types will only accept a single type of source</w:t>
      </w:r>
      <w:r w:rsidR="00724B81">
        <w:t xml:space="preserve"> (ex: P</w:t>
      </w:r>
      <w:r w:rsidR="00724B81" w:rsidRPr="00724B81">
        <w:rPr>
          <w:highlight w:val="yellow"/>
        </w:rPr>
        <w:t>a</w:t>
      </w:r>
      <w:r w:rsidR="00724B81">
        <w:t xml:space="preserve">CO2: </w:t>
      </w:r>
      <w:r w:rsidR="00724B81" w:rsidRPr="00724B81">
        <w:rPr>
          <w:highlight w:val="yellow"/>
        </w:rPr>
        <w:t>a</w:t>
      </w:r>
      <w:r w:rsidR="00724B81">
        <w:t xml:space="preserve"> indicates arterial only)</w:t>
      </w:r>
    </w:p>
    <w:p w14:paraId="6ABC227F" w14:textId="77777777" w:rsidR="00DC5644" w:rsidRPr="00DC5644" w:rsidRDefault="00DC5644" w:rsidP="00DC5644">
      <w:pPr>
        <w:spacing w:after="0" w:line="240" w:lineRule="auto"/>
        <w:rPr>
          <w:b/>
        </w:rPr>
      </w:pPr>
      <w:r w:rsidRPr="00DC5644">
        <w:rPr>
          <w:b/>
        </w:rPr>
        <w:lastRenderedPageBreak/>
        <w:t>Hematology</w:t>
      </w:r>
    </w:p>
    <w:p w14:paraId="4E8458BF" w14:textId="3B51F1B1" w:rsidR="00DC5644" w:rsidRDefault="00DC5644" w:rsidP="00DC56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Never use </w:t>
      </w:r>
      <w:r w:rsidR="00E60B3E">
        <w:t xml:space="preserve">the </w:t>
      </w:r>
      <w:r>
        <w:t>hematology from a blood gas</w:t>
      </w:r>
    </w:p>
    <w:p w14:paraId="464D85D5" w14:textId="6164B8FA" w:rsidR="00DC5644" w:rsidRDefault="00DC5644" w:rsidP="00DC5644">
      <w:pPr>
        <w:pStyle w:val="ListParagraph"/>
        <w:numPr>
          <w:ilvl w:val="0"/>
          <w:numId w:val="2"/>
        </w:numPr>
        <w:spacing w:after="0" w:line="240" w:lineRule="auto"/>
      </w:pPr>
      <w:r>
        <w:t>Unless otherwise instructed, do NOT collect PT/PTT data if subject is receiving systemic anticoagulation</w:t>
      </w:r>
      <w:r w:rsidR="00E60B3E">
        <w:t>.  Examples of systemic anticoagulation include:</w:t>
      </w:r>
    </w:p>
    <w:p w14:paraId="4BD844E9" w14:textId="0E760E27" w:rsidR="00E60B3E" w:rsidRDefault="00E60B3E" w:rsidP="00E60B3E">
      <w:pPr>
        <w:pStyle w:val="ListParagraph"/>
        <w:numPr>
          <w:ilvl w:val="1"/>
          <w:numId w:val="2"/>
        </w:numPr>
        <w:spacing w:after="0" w:line="240" w:lineRule="auto"/>
      </w:pPr>
      <w:r>
        <w:t>Heparin infusion (usually titrating, and in units/hr or units/kg/hr)</w:t>
      </w:r>
    </w:p>
    <w:p w14:paraId="6209B353" w14:textId="30374380" w:rsidR="00E60B3E" w:rsidRDefault="00E60B3E" w:rsidP="00E60B3E">
      <w:pPr>
        <w:pStyle w:val="ListParagraph"/>
        <w:numPr>
          <w:ilvl w:val="1"/>
          <w:numId w:val="2"/>
        </w:numPr>
        <w:spacing w:after="0" w:line="240" w:lineRule="auto"/>
      </w:pPr>
      <w:r>
        <w:t>Warfarin (Coumadin)</w:t>
      </w:r>
    </w:p>
    <w:p w14:paraId="652D02EB" w14:textId="77777777" w:rsidR="0001779C" w:rsidRDefault="00E60B3E" w:rsidP="00E60B3E">
      <w:pPr>
        <w:pStyle w:val="ListParagraph"/>
        <w:numPr>
          <w:ilvl w:val="1"/>
          <w:numId w:val="2"/>
        </w:numPr>
        <w:spacing w:after="0" w:line="240" w:lineRule="auto"/>
      </w:pPr>
      <w:r>
        <w:t>Enoxaparin (Lovenox)</w:t>
      </w:r>
      <w:r w:rsidR="0001779C">
        <w:t xml:space="preserve"> </w:t>
      </w:r>
    </w:p>
    <w:p w14:paraId="53254E54" w14:textId="174E3B81" w:rsidR="00E60B3E" w:rsidRDefault="0001779C" w:rsidP="0001779C">
      <w:pPr>
        <w:pStyle w:val="ListParagraph"/>
        <w:numPr>
          <w:ilvl w:val="2"/>
          <w:numId w:val="2"/>
        </w:numPr>
        <w:spacing w:after="0" w:line="240" w:lineRule="auto"/>
      </w:pPr>
      <w:r>
        <w:t>May depend on if lovenox is given for prophylactic vs therapeutic reasons, may need to verify with PI/clinical team</w:t>
      </w:r>
    </w:p>
    <w:p w14:paraId="2D323EC9" w14:textId="01CDFFD8" w:rsidR="00E60B3E" w:rsidRDefault="00E60B3E" w:rsidP="00E60B3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*Does </w:t>
      </w:r>
      <w:r>
        <w:rPr>
          <w:i/>
          <w:iCs/>
        </w:rPr>
        <w:t>not</w:t>
      </w:r>
      <w:r>
        <w:t xml:space="preserve"> include fluids with additive heparin for central/arterial line patency</w:t>
      </w:r>
    </w:p>
    <w:p w14:paraId="27140C2E" w14:textId="61FA3A48" w:rsidR="00DC5644" w:rsidRDefault="00E60B3E" w:rsidP="00DC5644">
      <w:pPr>
        <w:pStyle w:val="ListParagraph"/>
        <w:numPr>
          <w:ilvl w:val="0"/>
          <w:numId w:val="2"/>
        </w:numPr>
        <w:spacing w:after="0" w:line="240" w:lineRule="auto"/>
      </w:pPr>
      <w:r>
        <w:t>Investigate the method that your lab results CBC with differential.  For some sites i</w:t>
      </w:r>
      <w:r w:rsidR="00DC5644">
        <w:t xml:space="preserve">f no </w:t>
      </w:r>
      <w:r w:rsidR="00DC5644" w:rsidRPr="00E60B3E">
        <w:rPr>
          <w:b/>
          <w:bCs/>
        </w:rPr>
        <w:t>Bands</w:t>
      </w:r>
      <w:r w:rsidR="00DC5644">
        <w:t xml:space="preserve"> are documented, then there are “0” bands, not “unreported</w:t>
      </w:r>
      <w:r>
        <w:t>.</w:t>
      </w:r>
      <w:r w:rsidR="00DC5644">
        <w:t>”</w:t>
      </w:r>
      <w:r>
        <w:t xml:space="preserve">  For other sites, if no </w:t>
      </w:r>
      <w:r w:rsidRPr="00E60B3E">
        <w:rPr>
          <w:b/>
          <w:bCs/>
        </w:rPr>
        <w:t>Bands</w:t>
      </w:r>
      <w:r>
        <w:t xml:space="preserve"> are documented then you will leave blank or “unreported.)</w:t>
      </w:r>
    </w:p>
    <w:p w14:paraId="47240558" w14:textId="3FDA82C9" w:rsidR="00AB3282" w:rsidRDefault="00AB3282" w:rsidP="00AB328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Metamyelocytes &amp; myeolyctes get counted in the </w:t>
      </w:r>
      <w:r w:rsidR="0001779C" w:rsidRPr="0001779C">
        <w:rPr>
          <w:b/>
          <w:bCs/>
        </w:rPr>
        <w:t>Bands</w:t>
      </w:r>
      <w:r>
        <w:t xml:space="preserve"> total</w:t>
      </w:r>
    </w:p>
    <w:p w14:paraId="65E00253" w14:textId="6827E630" w:rsidR="00E60B3E" w:rsidRDefault="00E60B3E" w:rsidP="00E60B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“Segs” and “Neutr” are the same thing and both refer to the </w:t>
      </w:r>
      <w:r w:rsidRPr="00E60B3E">
        <w:rPr>
          <w:b/>
          <w:bCs/>
        </w:rPr>
        <w:t>Neutrophil</w:t>
      </w:r>
      <w:r>
        <w:t xml:space="preserve"> count.  </w:t>
      </w:r>
    </w:p>
    <w:p w14:paraId="4BEDE97E" w14:textId="77777777" w:rsidR="00DC5644" w:rsidRPr="00DC5644" w:rsidRDefault="00DC5644" w:rsidP="00DC5644">
      <w:pPr>
        <w:spacing w:after="0" w:line="240" w:lineRule="auto"/>
        <w:rPr>
          <w:b/>
        </w:rPr>
      </w:pPr>
      <w:r w:rsidRPr="00DC5644">
        <w:rPr>
          <w:b/>
        </w:rPr>
        <w:t>Chemistry</w:t>
      </w:r>
    </w:p>
    <w:p w14:paraId="01236F87" w14:textId="4B688139" w:rsidR="00DC5644" w:rsidRDefault="00DC5644" w:rsidP="00DC5644">
      <w:pPr>
        <w:pStyle w:val="ListParagraph"/>
        <w:numPr>
          <w:ilvl w:val="0"/>
          <w:numId w:val="3"/>
        </w:numPr>
        <w:spacing w:after="0" w:line="240" w:lineRule="auto"/>
      </w:pPr>
      <w:r>
        <w:t>The following frequently-used chemistry values may be found in “Chemistry” or “Blood gas”</w:t>
      </w:r>
      <w:r w:rsidR="00100868">
        <w:t xml:space="preserve"> and you will need to check both places to find the targeted value.</w:t>
      </w:r>
    </w:p>
    <w:p w14:paraId="477A3EF9" w14:textId="77777777" w:rsidR="00DC5644" w:rsidRDefault="00DC5644" w:rsidP="00DC5644">
      <w:pPr>
        <w:pStyle w:val="ListParagraph"/>
        <w:numPr>
          <w:ilvl w:val="1"/>
          <w:numId w:val="3"/>
        </w:numPr>
        <w:spacing w:after="0" w:line="240" w:lineRule="auto"/>
      </w:pPr>
      <w:r>
        <w:t>Lactate</w:t>
      </w:r>
    </w:p>
    <w:p w14:paraId="37CEA163" w14:textId="0093DB36" w:rsidR="00DC5644" w:rsidRDefault="00DC5644" w:rsidP="00DC5644">
      <w:pPr>
        <w:pStyle w:val="ListParagraph"/>
        <w:numPr>
          <w:ilvl w:val="1"/>
          <w:numId w:val="3"/>
        </w:numPr>
        <w:spacing w:after="0" w:line="240" w:lineRule="auto"/>
      </w:pPr>
      <w:r>
        <w:t>Glucose</w:t>
      </w:r>
    </w:p>
    <w:p w14:paraId="434D5E4A" w14:textId="5CD0D406" w:rsidR="0001779C" w:rsidRDefault="0001779C" w:rsidP="0001779C">
      <w:pPr>
        <w:pStyle w:val="ListParagraph"/>
        <w:numPr>
          <w:ilvl w:val="2"/>
          <w:numId w:val="3"/>
        </w:numPr>
        <w:spacing w:after="0" w:line="240" w:lineRule="auto"/>
      </w:pPr>
      <w:r>
        <w:t>Some studies request the source of glucose value.  In these cases, note carefully whether lab was obtained via finger/heel stick or line draw/venipuncture</w:t>
      </w:r>
    </w:p>
    <w:p w14:paraId="0D122A7C" w14:textId="77777777" w:rsidR="00DC5644" w:rsidRDefault="00DC5644" w:rsidP="00DC5644">
      <w:pPr>
        <w:pStyle w:val="ListParagraph"/>
        <w:numPr>
          <w:ilvl w:val="1"/>
          <w:numId w:val="3"/>
        </w:numPr>
        <w:spacing w:after="0" w:line="240" w:lineRule="auto"/>
      </w:pPr>
      <w:r>
        <w:t>Sodium</w:t>
      </w:r>
    </w:p>
    <w:p w14:paraId="0CF49085" w14:textId="77777777" w:rsidR="00DC5644" w:rsidRDefault="00DC5644" w:rsidP="00DC5644">
      <w:pPr>
        <w:pStyle w:val="ListParagraph"/>
        <w:numPr>
          <w:ilvl w:val="1"/>
          <w:numId w:val="3"/>
        </w:numPr>
        <w:spacing w:after="0" w:line="240" w:lineRule="auto"/>
      </w:pPr>
      <w:r>
        <w:t>Potassium</w:t>
      </w:r>
    </w:p>
    <w:p w14:paraId="1D58FE02" w14:textId="77777777" w:rsidR="00DC5644" w:rsidRPr="00DC5644" w:rsidRDefault="00DC5644" w:rsidP="00DC5644">
      <w:pPr>
        <w:spacing w:after="0" w:line="240" w:lineRule="auto"/>
        <w:rPr>
          <w:b/>
        </w:rPr>
      </w:pPr>
      <w:r w:rsidRPr="00DC5644">
        <w:rPr>
          <w:b/>
        </w:rPr>
        <w:t>Neuro Status/GCS</w:t>
      </w:r>
    </w:p>
    <w:p w14:paraId="7A155556" w14:textId="40054E84" w:rsidR="00DC5644" w:rsidRDefault="00DC5644" w:rsidP="00DC5644">
      <w:pPr>
        <w:pStyle w:val="ListParagraph"/>
        <w:numPr>
          <w:ilvl w:val="0"/>
          <w:numId w:val="3"/>
        </w:numPr>
        <w:spacing w:after="0" w:line="240" w:lineRule="auto"/>
      </w:pPr>
      <w:r>
        <w:t>For Proulx scoring, it is ok to document GCS even if subject is on sedation (but NOT if on neuromuscular blockade)</w:t>
      </w:r>
    </w:p>
    <w:p w14:paraId="26A1ED4E" w14:textId="36AD8350" w:rsidR="0001779C" w:rsidRDefault="0001779C" w:rsidP="0001779C">
      <w:pPr>
        <w:pStyle w:val="ListParagraph"/>
        <w:numPr>
          <w:ilvl w:val="1"/>
          <w:numId w:val="3"/>
        </w:numPr>
        <w:spacing w:after="0" w:line="240" w:lineRule="auto"/>
      </w:pPr>
      <w:r>
        <w:t>Examples of neuromuscular blockades include:</w:t>
      </w:r>
    </w:p>
    <w:p w14:paraId="39935660" w14:textId="66FEF52B" w:rsidR="0001779C" w:rsidRDefault="0001779C" w:rsidP="0001779C">
      <w:pPr>
        <w:pStyle w:val="ListParagraph"/>
        <w:numPr>
          <w:ilvl w:val="2"/>
          <w:numId w:val="3"/>
        </w:numPr>
        <w:spacing w:after="0" w:line="240" w:lineRule="auto"/>
      </w:pPr>
      <w:r>
        <w:t>Rocuronium</w:t>
      </w:r>
    </w:p>
    <w:p w14:paraId="5F948654" w14:textId="50E2A7BF" w:rsidR="0001779C" w:rsidRDefault="0001779C" w:rsidP="0001779C">
      <w:pPr>
        <w:pStyle w:val="ListParagraph"/>
        <w:numPr>
          <w:ilvl w:val="2"/>
          <w:numId w:val="3"/>
        </w:numPr>
        <w:spacing w:after="0" w:line="240" w:lineRule="auto"/>
      </w:pPr>
      <w:r>
        <w:t>Vecuronium</w:t>
      </w:r>
    </w:p>
    <w:p w14:paraId="3378079E" w14:textId="6ADECE0E" w:rsidR="0001779C" w:rsidRDefault="0001779C" w:rsidP="0001779C">
      <w:pPr>
        <w:pStyle w:val="ListParagraph"/>
        <w:numPr>
          <w:ilvl w:val="2"/>
          <w:numId w:val="3"/>
        </w:numPr>
        <w:spacing w:after="0" w:line="240" w:lineRule="auto"/>
      </w:pPr>
      <w:r>
        <w:t>Cisatracurium</w:t>
      </w:r>
    </w:p>
    <w:p w14:paraId="1F77B071" w14:textId="77777777" w:rsidR="00DC5644" w:rsidRPr="00100868" w:rsidRDefault="000A6287" w:rsidP="00DC5644">
      <w:pPr>
        <w:spacing w:after="0" w:line="240" w:lineRule="auto"/>
        <w:rPr>
          <w:b/>
          <w:bCs/>
        </w:rPr>
      </w:pPr>
      <w:r w:rsidRPr="00100868">
        <w:rPr>
          <w:b/>
          <w:bCs/>
        </w:rPr>
        <w:t>Microbiology</w:t>
      </w:r>
    </w:p>
    <w:p w14:paraId="3E838393" w14:textId="704E168F" w:rsidR="000A6287" w:rsidRDefault="000A6287" w:rsidP="0010086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Some microbiology data collection forms will ask for “how many cells” on Gram stain, WBCs or PMNS.  </w:t>
      </w:r>
      <w:r w:rsidR="00100868">
        <w:t>These are all often used interchangeably.</w:t>
      </w:r>
    </w:p>
    <w:p w14:paraId="7EC452F9" w14:textId="6C5273C1" w:rsidR="00100868" w:rsidRDefault="00100868" w:rsidP="00100868">
      <w:pPr>
        <w:spacing w:after="0" w:line="240" w:lineRule="auto"/>
        <w:rPr>
          <w:b/>
          <w:bCs/>
        </w:rPr>
      </w:pPr>
      <w:r>
        <w:rPr>
          <w:b/>
          <w:bCs/>
        </w:rPr>
        <w:t>Vasopressors</w:t>
      </w:r>
    </w:p>
    <w:p w14:paraId="6B4F788D" w14:textId="43B0C7D8" w:rsidR="00100868" w:rsidRDefault="00100868" w:rsidP="0010086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Typically for PICU studies, Vasopressin should only be scored if it is being used for </w:t>
      </w:r>
      <w:r w:rsidRPr="00100868">
        <w:rPr>
          <w:i/>
          <w:iCs/>
        </w:rPr>
        <w:t>shock</w:t>
      </w:r>
      <w:r>
        <w:t>.  Do not include if it is used for diabetes insipidus (DI)</w:t>
      </w:r>
    </w:p>
    <w:p w14:paraId="565B7BB0" w14:textId="433B53D4" w:rsidR="000D147F" w:rsidRDefault="00100868" w:rsidP="00B3478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*Vasopressin dosing units change </w:t>
      </w:r>
      <w:r>
        <w:rPr>
          <w:i/>
          <w:iCs/>
        </w:rPr>
        <w:t>vastly</w:t>
      </w:r>
      <w:r>
        <w:t xml:space="preserve"> from site to site.  Check units carefully and convert as needed.</w:t>
      </w:r>
    </w:p>
    <w:sectPr w:rsidR="000D1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3936" w14:textId="77777777" w:rsidR="00D860D7" w:rsidRDefault="00D860D7" w:rsidP="00100868">
      <w:pPr>
        <w:spacing w:after="0" w:line="240" w:lineRule="auto"/>
      </w:pPr>
      <w:r>
        <w:separator/>
      </w:r>
    </w:p>
  </w:endnote>
  <w:endnote w:type="continuationSeparator" w:id="0">
    <w:p w14:paraId="26B9408C" w14:textId="77777777" w:rsidR="00D860D7" w:rsidRDefault="00D860D7" w:rsidP="001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A563" w14:textId="77777777" w:rsidR="00ED245C" w:rsidRDefault="00ED2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B062" w14:textId="77777777" w:rsidR="00ED245C" w:rsidRDefault="00ED2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5E9F" w14:textId="77777777" w:rsidR="00ED245C" w:rsidRDefault="00ED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F9D4" w14:textId="77777777" w:rsidR="00D860D7" w:rsidRDefault="00D860D7" w:rsidP="00100868">
      <w:pPr>
        <w:spacing w:after="0" w:line="240" w:lineRule="auto"/>
      </w:pPr>
      <w:r>
        <w:separator/>
      </w:r>
    </w:p>
  </w:footnote>
  <w:footnote w:type="continuationSeparator" w:id="0">
    <w:p w14:paraId="6365FD7C" w14:textId="77777777" w:rsidR="00D860D7" w:rsidRDefault="00D860D7" w:rsidP="001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9D08" w14:textId="77777777" w:rsidR="00ED245C" w:rsidRDefault="00ED2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6551" w14:textId="3CCA97CF" w:rsidR="00100868" w:rsidRDefault="00ED245C" w:rsidP="00100868">
    <w:pPr>
      <w:spacing w:after="0" w:line="240" w:lineRule="auto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PALISI </w:t>
    </w:r>
    <w:r w:rsidR="00100868" w:rsidRPr="00E60B3E">
      <w:rPr>
        <w:sz w:val="28"/>
        <w:szCs w:val="28"/>
        <w:u w:val="single"/>
      </w:rPr>
      <w:t xml:space="preserve">Critical Care Research </w:t>
    </w:r>
    <w:r>
      <w:rPr>
        <w:sz w:val="28"/>
        <w:szCs w:val="28"/>
        <w:u w:val="single"/>
      </w:rPr>
      <w:t xml:space="preserve">Data Collection </w:t>
    </w:r>
    <w:r w:rsidR="00100868" w:rsidRPr="00E60B3E">
      <w:rPr>
        <w:sz w:val="28"/>
        <w:szCs w:val="28"/>
        <w:u w:val="single"/>
      </w:rPr>
      <w:t>Tips</w:t>
    </w:r>
  </w:p>
  <w:p w14:paraId="432EA608" w14:textId="408AA13C" w:rsidR="00A002B2" w:rsidRPr="00A002B2" w:rsidRDefault="0041032C" w:rsidP="00100868">
    <w:pPr>
      <w:spacing w:after="0" w:line="240" w:lineRule="auto"/>
      <w:jc w:val="center"/>
    </w:pPr>
    <w:r>
      <w:t>v</w:t>
    </w:r>
    <w:r w:rsidR="00A002B2" w:rsidRPr="00A002B2">
      <w:t>1.0</w:t>
    </w:r>
  </w:p>
  <w:p w14:paraId="4A761848" w14:textId="77777777" w:rsidR="00100868" w:rsidRDefault="00100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9FD3" w14:textId="77777777" w:rsidR="00ED245C" w:rsidRDefault="00ED2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6A2D"/>
    <w:multiLevelType w:val="hybridMultilevel"/>
    <w:tmpl w:val="EF28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2656"/>
    <w:multiLevelType w:val="hybridMultilevel"/>
    <w:tmpl w:val="E082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5AD7"/>
    <w:multiLevelType w:val="hybridMultilevel"/>
    <w:tmpl w:val="0D1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0947"/>
    <w:multiLevelType w:val="hybridMultilevel"/>
    <w:tmpl w:val="BE2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08C8"/>
    <w:multiLevelType w:val="hybridMultilevel"/>
    <w:tmpl w:val="3BB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97A6F"/>
    <w:multiLevelType w:val="hybridMultilevel"/>
    <w:tmpl w:val="6D70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C98"/>
    <w:rsid w:val="0001779C"/>
    <w:rsid w:val="00027CEE"/>
    <w:rsid w:val="000A6287"/>
    <w:rsid w:val="000D147F"/>
    <w:rsid w:val="00100868"/>
    <w:rsid w:val="001776F0"/>
    <w:rsid w:val="00324A15"/>
    <w:rsid w:val="003A2B68"/>
    <w:rsid w:val="003D5E79"/>
    <w:rsid w:val="0041032C"/>
    <w:rsid w:val="00501B6D"/>
    <w:rsid w:val="00604AC6"/>
    <w:rsid w:val="006C1163"/>
    <w:rsid w:val="006D1958"/>
    <w:rsid w:val="00724B81"/>
    <w:rsid w:val="007B01EF"/>
    <w:rsid w:val="007D7835"/>
    <w:rsid w:val="008236EA"/>
    <w:rsid w:val="008C021C"/>
    <w:rsid w:val="009034B5"/>
    <w:rsid w:val="00A002B2"/>
    <w:rsid w:val="00AB3282"/>
    <w:rsid w:val="00B34788"/>
    <w:rsid w:val="00B55F54"/>
    <w:rsid w:val="00BF3D6C"/>
    <w:rsid w:val="00CF4924"/>
    <w:rsid w:val="00D860D7"/>
    <w:rsid w:val="00DC5644"/>
    <w:rsid w:val="00E3246D"/>
    <w:rsid w:val="00E60B3E"/>
    <w:rsid w:val="00ED245C"/>
    <w:rsid w:val="00F34C98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AD67"/>
  <w15:docId w15:val="{2263BBFA-FAB4-44CD-B1CB-EA296FC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98"/>
    <w:pPr>
      <w:ind w:left="720"/>
      <w:contextualSpacing/>
    </w:pPr>
  </w:style>
  <w:style w:type="table" w:styleId="TableGrid">
    <w:name w:val="Table Grid"/>
    <w:basedOn w:val="TableNormal"/>
    <w:uiPriority w:val="59"/>
    <w:rsid w:val="008C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56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0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68"/>
  </w:style>
  <w:style w:type="paragraph" w:styleId="Footer">
    <w:name w:val="footer"/>
    <w:basedOn w:val="Normal"/>
    <w:link w:val="FooterChar"/>
    <w:uiPriority w:val="99"/>
    <w:unhideWhenUsed/>
    <w:rsid w:val="0010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Josey</dc:creator>
  <cp:lastModifiedBy>Hensley, Josey</cp:lastModifiedBy>
  <cp:revision>24</cp:revision>
  <dcterms:created xsi:type="dcterms:W3CDTF">2014-11-19T18:49:00Z</dcterms:created>
  <dcterms:modified xsi:type="dcterms:W3CDTF">2021-06-03T18:26:00Z</dcterms:modified>
</cp:coreProperties>
</file>